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20B39" w14:textId="4D4A6908" w:rsidR="00C11B5C" w:rsidRDefault="000B14C5" w:rsidP="000B14C5">
      <w:pPr>
        <w:jc w:val="center"/>
        <w:rPr>
          <w:sz w:val="32"/>
          <w:szCs w:val="32"/>
        </w:rPr>
      </w:pPr>
      <w:r>
        <w:rPr>
          <w:rFonts w:hint="eastAsia"/>
          <w:sz w:val="32"/>
          <w:szCs w:val="32"/>
        </w:rPr>
        <w:t>医療DX推進体制整備加算に関する掲示について</w:t>
      </w:r>
    </w:p>
    <w:p w14:paraId="798D4E9C" w14:textId="12C12190" w:rsidR="000B14C5" w:rsidRDefault="000B14C5" w:rsidP="000B14C5">
      <w:pPr>
        <w:jc w:val="left"/>
        <w:rPr>
          <w:sz w:val="24"/>
          <w:szCs w:val="24"/>
        </w:rPr>
      </w:pPr>
      <w:r>
        <w:rPr>
          <w:rFonts w:hint="eastAsia"/>
          <w:sz w:val="24"/>
          <w:szCs w:val="24"/>
        </w:rPr>
        <w:t>当院は、医療DXを通じた質の高い診療提供を目指しております。</w:t>
      </w:r>
    </w:p>
    <w:p w14:paraId="7CFA761A" w14:textId="6C17DBC1" w:rsidR="000B14C5" w:rsidRDefault="000B14C5" w:rsidP="000B14C5">
      <w:pPr>
        <w:pStyle w:val="a9"/>
        <w:numPr>
          <w:ilvl w:val="0"/>
          <w:numId w:val="1"/>
        </w:numPr>
        <w:jc w:val="left"/>
        <w:rPr>
          <w:sz w:val="24"/>
          <w:szCs w:val="24"/>
        </w:rPr>
      </w:pPr>
      <w:r>
        <w:rPr>
          <w:rFonts w:hint="eastAsia"/>
          <w:sz w:val="24"/>
          <w:szCs w:val="24"/>
        </w:rPr>
        <w:t>オンライン請求を行っております</w:t>
      </w:r>
    </w:p>
    <w:p w14:paraId="0FF70482" w14:textId="2D8CF268" w:rsidR="000B14C5" w:rsidRDefault="000B14C5" w:rsidP="000B14C5">
      <w:pPr>
        <w:pStyle w:val="a9"/>
        <w:numPr>
          <w:ilvl w:val="0"/>
          <w:numId w:val="1"/>
        </w:numPr>
        <w:jc w:val="left"/>
        <w:rPr>
          <w:sz w:val="24"/>
          <w:szCs w:val="24"/>
        </w:rPr>
      </w:pPr>
      <w:r>
        <w:rPr>
          <w:rFonts w:hint="eastAsia"/>
          <w:sz w:val="24"/>
          <w:szCs w:val="24"/>
        </w:rPr>
        <w:t>オンライン資格確認等システムにより取得した医療情報を、診察で閲覧又は活用して診療をできる体制を実施しています。</w:t>
      </w:r>
    </w:p>
    <w:p w14:paraId="09F140D9" w14:textId="1D4A07F3" w:rsidR="000B14C5" w:rsidRDefault="000B14C5" w:rsidP="000B14C5">
      <w:pPr>
        <w:pStyle w:val="a9"/>
        <w:numPr>
          <w:ilvl w:val="0"/>
          <w:numId w:val="1"/>
        </w:numPr>
        <w:jc w:val="left"/>
        <w:rPr>
          <w:sz w:val="24"/>
          <w:szCs w:val="24"/>
        </w:rPr>
      </w:pPr>
      <w:r>
        <w:rPr>
          <w:rFonts w:hint="eastAsia"/>
          <w:sz w:val="24"/>
          <w:szCs w:val="24"/>
        </w:rPr>
        <w:t>マイナ保険証利用を推進するなど、医療DXを通じて質の高い医療を提供できるよう取り組んでいます。</w:t>
      </w:r>
    </w:p>
    <w:p w14:paraId="26B0993E" w14:textId="332BA1EA" w:rsidR="000B14C5" w:rsidRDefault="000B14C5" w:rsidP="000B14C5">
      <w:pPr>
        <w:pStyle w:val="a9"/>
        <w:numPr>
          <w:ilvl w:val="0"/>
          <w:numId w:val="1"/>
        </w:numPr>
        <w:jc w:val="left"/>
        <w:rPr>
          <w:sz w:val="24"/>
          <w:szCs w:val="24"/>
        </w:rPr>
      </w:pPr>
      <w:r>
        <w:rPr>
          <w:rFonts w:hint="eastAsia"/>
          <w:sz w:val="24"/>
          <w:szCs w:val="24"/>
        </w:rPr>
        <w:t>電子処方箋の発行や電子カルテ共有サービスなどの取り組みを実施するための準備を進めております。</w:t>
      </w:r>
    </w:p>
    <w:p w14:paraId="3786172F" w14:textId="5B792AE8" w:rsidR="000B14C5" w:rsidRDefault="000B14C5" w:rsidP="000B14C5">
      <w:pPr>
        <w:pStyle w:val="a9"/>
        <w:numPr>
          <w:ilvl w:val="0"/>
          <w:numId w:val="1"/>
        </w:numPr>
        <w:jc w:val="left"/>
        <w:rPr>
          <w:sz w:val="24"/>
          <w:szCs w:val="24"/>
        </w:rPr>
      </w:pPr>
      <w:r>
        <w:rPr>
          <w:rFonts w:hint="eastAsia"/>
          <w:sz w:val="24"/>
          <w:szCs w:val="24"/>
        </w:rPr>
        <w:t>マイナンバーカードの健康保険証利用について、お声がけ、ポスターの掲示を行っております。</w:t>
      </w:r>
    </w:p>
    <w:p w14:paraId="7D7AAD2A" w14:textId="235B6FD6" w:rsidR="000B14C5" w:rsidRDefault="000B14C5" w:rsidP="000B14C5">
      <w:pPr>
        <w:pStyle w:val="a9"/>
        <w:numPr>
          <w:ilvl w:val="0"/>
          <w:numId w:val="1"/>
        </w:numPr>
        <w:jc w:val="left"/>
        <w:rPr>
          <w:sz w:val="24"/>
          <w:szCs w:val="24"/>
        </w:rPr>
      </w:pPr>
      <w:r>
        <w:rPr>
          <w:rFonts w:hint="eastAsia"/>
          <w:sz w:val="24"/>
          <w:szCs w:val="24"/>
        </w:rPr>
        <w:t>医療DX推進の体制に関する事項および質の高い医療を実施するための十分な情報を取得、および活用して診療を行うことについて、当医療機関の見やすい場所およびホームページに掲載しています。</w:t>
      </w:r>
    </w:p>
    <w:p w14:paraId="7E1FF27C" w14:textId="77777777" w:rsidR="00B362F1" w:rsidRDefault="00B362F1" w:rsidP="000B14C5">
      <w:pPr>
        <w:jc w:val="left"/>
        <w:rPr>
          <w:sz w:val="24"/>
          <w:szCs w:val="24"/>
        </w:rPr>
      </w:pPr>
    </w:p>
    <w:p w14:paraId="370B8EB8" w14:textId="3196B80F" w:rsidR="000B14C5" w:rsidRDefault="000B14C5" w:rsidP="000B14C5">
      <w:pPr>
        <w:jc w:val="left"/>
        <w:rPr>
          <w:sz w:val="24"/>
          <w:szCs w:val="24"/>
        </w:rPr>
      </w:pPr>
      <w:r>
        <w:rPr>
          <w:rFonts w:hint="eastAsia"/>
          <w:sz w:val="24"/>
          <w:szCs w:val="24"/>
        </w:rPr>
        <w:t>国が定めた診療報酬加算要件に従い、下表のとおり診療報酬点数を算定します。</w:t>
      </w:r>
    </w:p>
    <w:p w14:paraId="3AAAB718" w14:textId="7326C66A" w:rsidR="00B362F1" w:rsidRPr="000B14C5" w:rsidRDefault="00B362F1" w:rsidP="000B14C5">
      <w:pPr>
        <w:jc w:val="left"/>
        <w:rPr>
          <w:rFonts w:hint="eastAsia"/>
          <w:sz w:val="24"/>
          <w:szCs w:val="24"/>
        </w:rPr>
      </w:pPr>
      <w:r>
        <w:rPr>
          <w:rFonts w:hint="eastAsia"/>
          <w:sz w:val="24"/>
          <w:szCs w:val="24"/>
        </w:rPr>
        <w:t>＊医療DX推進体制整備加算　8点　(月1回)</w:t>
      </w:r>
    </w:p>
    <w:sectPr w:rsidR="00B362F1" w:rsidRPr="000B14C5" w:rsidSect="00B362F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E525C1"/>
    <w:multiLevelType w:val="hybridMultilevel"/>
    <w:tmpl w:val="10F6EEC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26630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4C5"/>
    <w:rsid w:val="000B14C5"/>
    <w:rsid w:val="0023783E"/>
    <w:rsid w:val="004E5725"/>
    <w:rsid w:val="00B362F1"/>
    <w:rsid w:val="00C11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216B5A"/>
  <w15:chartTrackingRefBased/>
  <w15:docId w15:val="{8BB68F2D-A00B-4340-9013-16BBAA53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B14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B14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B14C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B14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B14C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14C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14C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14C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14C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14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B14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B14C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B14C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B14C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B14C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B14C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B14C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B14C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B14C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B14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4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B14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4C5"/>
    <w:pPr>
      <w:spacing w:before="160" w:after="160"/>
      <w:jc w:val="center"/>
    </w:pPr>
    <w:rPr>
      <w:i/>
      <w:iCs/>
      <w:color w:val="404040" w:themeColor="text1" w:themeTint="BF"/>
    </w:rPr>
  </w:style>
  <w:style w:type="character" w:customStyle="1" w:styleId="a8">
    <w:name w:val="引用文 (文字)"/>
    <w:basedOn w:val="a0"/>
    <w:link w:val="a7"/>
    <w:uiPriority w:val="29"/>
    <w:rsid w:val="000B14C5"/>
    <w:rPr>
      <w:i/>
      <w:iCs/>
      <w:color w:val="404040" w:themeColor="text1" w:themeTint="BF"/>
    </w:rPr>
  </w:style>
  <w:style w:type="paragraph" w:styleId="a9">
    <w:name w:val="List Paragraph"/>
    <w:basedOn w:val="a"/>
    <w:uiPriority w:val="34"/>
    <w:qFormat/>
    <w:rsid w:val="000B14C5"/>
    <w:pPr>
      <w:ind w:left="720"/>
      <w:contextualSpacing/>
    </w:pPr>
  </w:style>
  <w:style w:type="character" w:styleId="21">
    <w:name w:val="Intense Emphasis"/>
    <w:basedOn w:val="a0"/>
    <w:uiPriority w:val="21"/>
    <w:qFormat/>
    <w:rsid w:val="000B14C5"/>
    <w:rPr>
      <w:i/>
      <w:iCs/>
      <w:color w:val="0F4761" w:themeColor="accent1" w:themeShade="BF"/>
    </w:rPr>
  </w:style>
  <w:style w:type="paragraph" w:styleId="22">
    <w:name w:val="Intense Quote"/>
    <w:basedOn w:val="a"/>
    <w:next w:val="a"/>
    <w:link w:val="23"/>
    <w:uiPriority w:val="30"/>
    <w:qFormat/>
    <w:rsid w:val="000B14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B14C5"/>
    <w:rPr>
      <w:i/>
      <w:iCs/>
      <w:color w:val="0F4761" w:themeColor="accent1" w:themeShade="BF"/>
    </w:rPr>
  </w:style>
  <w:style w:type="character" w:styleId="24">
    <w:name w:val="Intense Reference"/>
    <w:basedOn w:val="a0"/>
    <w:uiPriority w:val="32"/>
    <w:qFormat/>
    <w:rsid w:val="000B14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Take</dc:creator>
  <cp:keywords/>
  <dc:description/>
  <cp:lastModifiedBy>Jin Take</cp:lastModifiedBy>
  <cp:revision>1</cp:revision>
  <dcterms:created xsi:type="dcterms:W3CDTF">2025-01-29T08:23:00Z</dcterms:created>
  <dcterms:modified xsi:type="dcterms:W3CDTF">2025-01-29T08:40:00Z</dcterms:modified>
</cp:coreProperties>
</file>